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5" w:rsidRPr="00CA0A0C" w:rsidRDefault="00CE5C85">
      <w:pPr>
        <w:pStyle w:val="Tekstpodstawowy"/>
        <w:ind w:left="7650"/>
        <w:rPr>
          <w:rFonts w:ascii="Times New Roman"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Times New Roman"/>
          <w:sz w:val="20"/>
        </w:rPr>
      </w:pPr>
    </w:p>
    <w:p w:rsidR="00CE5C85" w:rsidRPr="00CA0A0C" w:rsidRDefault="00F160A9" w:rsidP="00F160A9">
      <w:pPr>
        <w:spacing w:before="88" w:line="295" w:lineRule="auto"/>
        <w:ind w:left="111" w:right="2668" w:hanging="1"/>
        <w:rPr>
          <w:rFonts w:ascii="Humanst521EU"/>
          <w:b/>
          <w:sz w:val="28"/>
        </w:rPr>
      </w:pPr>
      <w:r w:rsidRPr="00CA0A0C">
        <w:rPr>
          <w:rFonts w:ascii="Humanst521EU"/>
          <w:b/>
          <w:color w:val="231F20"/>
          <w:sz w:val="28"/>
          <w:shd w:val="clear" w:color="auto" w:fill="FFFFFF"/>
        </w:rPr>
        <w:t>Przedmiotowe zasady oceniania Biologia w szkole podstawowej</w:t>
      </w:r>
    </w:p>
    <w:p w:rsidR="00CE5C85" w:rsidRPr="00CA0A0C" w:rsidRDefault="00F160A9">
      <w:pPr>
        <w:pStyle w:val="Nagwek1"/>
        <w:spacing w:before="102"/>
        <w:ind w:left="111" w:firstLine="0"/>
      </w:pPr>
      <w:r w:rsidRPr="00CA0A0C">
        <w:rPr>
          <w:color w:val="231F20"/>
        </w:rPr>
        <w:t>Założenia do przedmiotowych zasad oceniania</w:t>
      </w:r>
    </w:p>
    <w:p w:rsidR="00CE5C85" w:rsidRPr="00CA0A0C" w:rsidRDefault="00F160A9">
      <w:pPr>
        <w:pStyle w:val="Akapitzlist"/>
        <w:numPr>
          <w:ilvl w:val="0"/>
          <w:numId w:val="10"/>
        </w:numPr>
        <w:tabs>
          <w:tab w:val="left" w:pos="339"/>
        </w:tabs>
        <w:spacing w:before="118"/>
        <w:rPr>
          <w:rFonts w:ascii="CentSchbookEU" w:hAnsi="CentSchbookEU"/>
          <w:b/>
          <w:sz w:val="18"/>
        </w:rPr>
      </w:pPr>
      <w:r w:rsidRPr="00CA0A0C">
        <w:rPr>
          <w:rFonts w:ascii="CentSchbookEU" w:hAnsi="CentSchbookEU"/>
          <w:b/>
          <w:color w:val="231F20"/>
          <w:sz w:val="18"/>
        </w:rPr>
        <w:t>Użyteczność</w:t>
      </w:r>
    </w:p>
    <w:p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>Ocenianie powinno być nakierowane na te wiadomości i umiejętności, których opanowanie przez ucznia pozwala osiągnąć założone cele nauczania.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 xml:space="preserve">Wspomaganie procesu uczenia się </w:t>
      </w:r>
      <w:proofErr w:type="spellStart"/>
      <w:r w:rsidRPr="00CA0A0C">
        <w:rPr>
          <w:color w:val="231F20"/>
        </w:rPr>
        <w:t>inauczania</w:t>
      </w:r>
      <w:proofErr w:type="spellEnd"/>
    </w:p>
    <w:p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 xml:space="preserve">Ocenianie powinno motywować ucznia oraz skłaniać zarówno ucznia, jak i nauczyciela do </w:t>
      </w:r>
      <w:r w:rsidRPr="00CA0A0C">
        <w:rPr>
          <w:color w:val="231F20"/>
          <w:spacing w:val="1"/>
        </w:rPr>
        <w:t xml:space="preserve">wyciągania </w:t>
      </w:r>
      <w:r w:rsidRPr="00CA0A0C">
        <w:rPr>
          <w:color w:val="231F20"/>
        </w:rPr>
        <w:t xml:space="preserve">wniosków                                   z </w:t>
      </w:r>
      <w:proofErr w:type="spellStart"/>
      <w:r w:rsidRPr="00CA0A0C">
        <w:rPr>
          <w:color w:val="231F20"/>
        </w:rPr>
        <w:t>dotychczasowejwspółpracy</w:t>
      </w:r>
      <w:proofErr w:type="spellEnd"/>
      <w:r w:rsidRPr="00CA0A0C">
        <w:rPr>
          <w:color w:val="231F20"/>
        </w:rPr>
        <w:t>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Wielowątkowość</w:t>
      </w:r>
    </w:p>
    <w:p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 xml:space="preserve">Proces oceniania powinien stwarzać sytuacje, w których każdy uczeń będzie miał możliwość </w:t>
      </w:r>
      <w:proofErr w:type="spellStart"/>
      <w:r w:rsidRPr="00CA0A0C">
        <w:rPr>
          <w:color w:val="231F20"/>
        </w:rPr>
        <w:t>zademonstrowaniaswojej</w:t>
      </w:r>
      <w:proofErr w:type="spellEnd"/>
      <w:r w:rsidRPr="00CA0A0C">
        <w:rPr>
          <w:color w:val="231F20"/>
        </w:rPr>
        <w:t xml:space="preserve"> wiedzy, kreatywności </w:t>
      </w:r>
      <w:proofErr w:type="spellStart"/>
      <w:r w:rsidRPr="00CA0A0C">
        <w:rPr>
          <w:color w:val="231F20"/>
        </w:rPr>
        <w:t>ioryginalności</w:t>
      </w:r>
      <w:proofErr w:type="spellEnd"/>
      <w:r w:rsidRPr="00CA0A0C">
        <w:rPr>
          <w:color w:val="231F20"/>
        </w:rPr>
        <w:t>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0"/>
      </w:pPr>
      <w:r w:rsidRPr="00CA0A0C">
        <w:rPr>
          <w:color w:val="231F20"/>
        </w:rPr>
        <w:t>Otwartość</w:t>
      </w:r>
    </w:p>
    <w:p w:rsidR="00CE5C85" w:rsidRPr="00CA0A0C" w:rsidRDefault="00F160A9">
      <w:pPr>
        <w:pStyle w:val="Tekstpodstawowy"/>
        <w:spacing w:before="64" w:line="249" w:lineRule="auto"/>
        <w:ind w:left="338" w:right="496"/>
      </w:pPr>
      <w:r w:rsidRPr="00CA0A0C">
        <w:rPr>
          <w:color w:val="231F20"/>
        </w:rPr>
        <w:t>Kryteria oceniania powinny być zrozumiałe i jawne, a wyniki – dostępne dla wszystkich zainteresowanych. Proces oceniania powinien  być otwarty na analizę i weryfikację.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proofErr w:type="spellStart"/>
      <w:r w:rsidRPr="00CA0A0C">
        <w:rPr>
          <w:color w:val="231F20"/>
        </w:rPr>
        <w:t>Pewnośćwnioskowania</w:t>
      </w:r>
      <w:bookmarkStart w:id="0" w:name="_GoBack"/>
      <w:bookmarkEnd w:id="0"/>
      <w:proofErr w:type="spellEnd"/>
    </w:p>
    <w:p w:rsidR="00CE5C85" w:rsidRPr="00CA0A0C" w:rsidRDefault="00F160A9">
      <w:pPr>
        <w:pStyle w:val="Tekstpodstawowy"/>
        <w:spacing w:before="64"/>
        <w:ind w:left="338"/>
      </w:pPr>
      <w:r w:rsidRPr="00CA0A0C">
        <w:rPr>
          <w:color w:val="231F20"/>
        </w:rPr>
        <w:t>Materiał zgromadzony w procesie oceniania powinien gwarantować pewność co do umiejętności ucznia.</w:t>
      </w:r>
    </w:p>
    <w:p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8"/>
      </w:pPr>
      <w:proofErr w:type="spellStart"/>
      <w:r w:rsidRPr="00CA0A0C">
        <w:rPr>
          <w:color w:val="231F20"/>
        </w:rPr>
        <w:t>Spójnośćwewnętrzna</w:t>
      </w:r>
      <w:proofErr w:type="spellEnd"/>
    </w:p>
    <w:p w:rsidR="00CE5C85" w:rsidRPr="00CA0A0C" w:rsidRDefault="00F160A9">
      <w:pPr>
        <w:pStyle w:val="Tekstpodstawowy"/>
        <w:spacing w:before="64" w:line="249" w:lineRule="auto"/>
        <w:ind w:left="338" w:right="496"/>
      </w:pPr>
      <w:r w:rsidRPr="00CA0A0C">
        <w:rPr>
          <w:color w:val="231F20"/>
        </w:rPr>
        <w:t>Każdy składnik zasad oceniania powinien być zgodny ze standardami nauczania, standardami oceniania oraz z programem rozwoju szkoły.</w:t>
      </w:r>
    </w:p>
    <w:p w:rsidR="00CE5C85" w:rsidRPr="00CA0A0C" w:rsidRDefault="00CE5C85">
      <w:pPr>
        <w:pStyle w:val="Tekstpodstawowy"/>
        <w:ind w:left="0"/>
        <w:rPr>
          <w:sz w:val="20"/>
        </w:rPr>
      </w:pPr>
    </w:p>
    <w:p w:rsidR="00CE5C85" w:rsidRPr="00CA0A0C" w:rsidRDefault="008C09B0">
      <w:pPr>
        <w:pStyle w:val="Tekstpodstawowy"/>
        <w:spacing w:before="3"/>
        <w:ind w:left="0"/>
        <w:rPr>
          <w:sz w:val="16"/>
        </w:rPr>
      </w:pPr>
      <w:r w:rsidRPr="008C09B0">
        <w:rPr>
          <w:noProof/>
          <w:sz w:val="22"/>
          <w:lang w:eastAsia="pl-PL"/>
        </w:rPr>
        <w:pict>
          <v:group id="Group 6" o:spid="_x0000_s1026" style="position:absolute;margin-left:42.6pt;margin-top:8.3pt;width:490.35pt;height:300.85pt;z-index:-8368;mso-position-horizontal-relative:page" coordorigin="852,-21" coordsize="9807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">
            <v:rect id="Rectangle 8" o:spid="_x0000_s1027" style="position:absolute;left:856;top:-17;width:9797;height:7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QbsEA&#10;AADaAAAADwAAAGRycy9kb3ducmV2LnhtbESPUWvCMBSF34X9h3AHe9N0DlSqsUhhbDAQ6obPl+ba&#10;FJubkmRt9+8XQfDxcM75DmdXTLYTA/nQOlbwushAENdOt9wo+Pl+n29AhIissXNMCv4oQLF/mu0w&#10;127kioZTbESCcMhRgYmxz6UMtSGLYeF64uRdnLcYk/SN1B7HBLedXGbZSlpsOS0Y7Kk0VF9Pv1bB&#10;RzDV2J6PfVl90XJtg5GDr5R6eZ4OWxCRpvgI39ufWsEb3K6kG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kG7BAAAA2gAAAA8AAAAAAAAAAAAAAAAAmAIAAGRycy9kb3du&#10;cmV2LnhtbFBLBQYAAAAABAAEAPUAAACGAwAAAAA=&#10;" filled="f" fillcolor="#fff7eb" stroked="f"/>
            <v:rect id="Rectangle 7" o:spid="_x0000_s1028" style="position:absolute;left:856;top:-17;width:9797;height:7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zLcQA&#10;AADaAAAADwAAAGRycy9kb3ducmV2LnhtbESPT2vCQBTE70K/w/IK3uqmoqVEN6GtphakB/9cvD2y&#10;zySYfRt2tyZ++26h4HGYmd8wy3wwrbiS841lBc+TBARxaXXDlYLjoXh6BeEDssbWMim4kYc8exgt&#10;MdW25x1d96ESEcI+RQV1CF0qpS9rMugntiOO3tk6gyFKV0ntsI9w08ppkrxIgw3HhRo7+qipvOx/&#10;jIKuWNt++lnMN9vmVL07zavj90ap8ePwtgARaAj38H/7SyuYwd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My3EAAAA2gAAAA8AAAAAAAAAAAAAAAAAmAIAAGRycy9k&#10;b3ducmV2LnhtbFBLBQYAAAAABAAEAPUAAACJAwAAAAA=&#10;" filled="f" strokecolor="#939598" strokeweight=".5pt"/>
            <w10:wrap anchorx="page"/>
          </v:group>
        </w:pict>
      </w:r>
    </w:p>
    <w:p w:rsidR="00CE5C85" w:rsidRPr="00CA0A0C" w:rsidRDefault="00F160A9">
      <w:pPr>
        <w:spacing w:before="94"/>
        <w:ind w:left="291"/>
        <w:jc w:val="both"/>
        <w:rPr>
          <w:rFonts w:ascii="Humanst521EU" w:hAnsi="Humanst521EU"/>
          <w:b/>
          <w:sz w:val="21"/>
        </w:rPr>
      </w:pPr>
      <w:r w:rsidRPr="00CA0A0C">
        <w:rPr>
          <w:rFonts w:ascii="Humanst521EU" w:hAnsi="Humanst521EU"/>
          <w:b/>
          <w:color w:val="00377B"/>
          <w:sz w:val="21"/>
        </w:rPr>
        <w:t>Uwagi do nauczycieli opracowujących przedmiotowe zasady oceniania</w:t>
      </w:r>
    </w:p>
    <w:p w:rsidR="00CE5C85" w:rsidRPr="00CA0A0C" w:rsidRDefault="00F160A9">
      <w:pPr>
        <w:pStyle w:val="Tekstpodstawowy"/>
        <w:spacing w:before="56"/>
        <w:ind w:left="291"/>
        <w:jc w:val="both"/>
      </w:pPr>
      <w:r w:rsidRPr="00CA0A0C">
        <w:rPr>
          <w:color w:val="231F20"/>
        </w:rPr>
        <w:t>Pracę nauczyciela biologii na II etapie kształcenia od roku szkolnego 2017/18  regulują:</w:t>
      </w:r>
    </w:p>
    <w:p w:rsidR="00CE5C85" w:rsidRPr="00CA0A0C" w:rsidRDefault="00F160A9">
      <w:pPr>
        <w:pStyle w:val="Akapitzlist"/>
        <w:numPr>
          <w:ilvl w:val="1"/>
          <w:numId w:val="10"/>
        </w:numPr>
        <w:tabs>
          <w:tab w:val="left" w:pos="519"/>
        </w:tabs>
        <w:spacing w:before="64"/>
        <w:jc w:val="both"/>
        <w:rPr>
          <w:sz w:val="18"/>
        </w:rPr>
      </w:pPr>
      <w:r w:rsidRPr="00CA0A0C">
        <w:rPr>
          <w:color w:val="231F20"/>
          <w:sz w:val="18"/>
        </w:rPr>
        <w:t xml:space="preserve">cele kształcenia – </w:t>
      </w:r>
      <w:proofErr w:type="spellStart"/>
      <w:r w:rsidRPr="00CA0A0C">
        <w:rPr>
          <w:color w:val="231F20"/>
          <w:spacing w:val="1"/>
          <w:sz w:val="18"/>
        </w:rPr>
        <w:t>wymagania</w:t>
      </w:r>
      <w:r w:rsidRPr="00CA0A0C">
        <w:rPr>
          <w:color w:val="231F20"/>
          <w:sz w:val="18"/>
        </w:rPr>
        <w:t>ogólne</w:t>
      </w:r>
      <w:proofErr w:type="spellEnd"/>
      <w:r w:rsidRPr="00CA0A0C">
        <w:rPr>
          <w:color w:val="231F20"/>
          <w:sz w:val="18"/>
        </w:rPr>
        <w:t>,</w:t>
      </w:r>
    </w:p>
    <w:p w:rsidR="00CE5C85" w:rsidRPr="00CA0A0C" w:rsidRDefault="00F160A9">
      <w:pPr>
        <w:pStyle w:val="Akapitzlist"/>
        <w:numPr>
          <w:ilvl w:val="1"/>
          <w:numId w:val="10"/>
        </w:numPr>
        <w:tabs>
          <w:tab w:val="left" w:pos="519"/>
        </w:tabs>
        <w:spacing w:before="8"/>
        <w:jc w:val="both"/>
        <w:rPr>
          <w:sz w:val="18"/>
        </w:rPr>
      </w:pPr>
      <w:r w:rsidRPr="00CA0A0C">
        <w:rPr>
          <w:color w:val="231F20"/>
          <w:sz w:val="18"/>
        </w:rPr>
        <w:t xml:space="preserve">treści nauczania – </w:t>
      </w:r>
      <w:proofErr w:type="spellStart"/>
      <w:r w:rsidRPr="00CA0A0C">
        <w:rPr>
          <w:color w:val="231F20"/>
          <w:spacing w:val="1"/>
          <w:sz w:val="18"/>
        </w:rPr>
        <w:t>wymagania</w:t>
      </w:r>
      <w:r w:rsidRPr="00CA0A0C">
        <w:rPr>
          <w:color w:val="231F20"/>
          <w:sz w:val="18"/>
        </w:rPr>
        <w:t>szczegółowe</w:t>
      </w:r>
      <w:proofErr w:type="spellEnd"/>
      <w:r w:rsidRPr="00CA0A0C">
        <w:rPr>
          <w:color w:val="231F20"/>
          <w:sz w:val="18"/>
        </w:rPr>
        <w:t>,</w:t>
      </w:r>
    </w:p>
    <w:p w:rsidR="00CE5C85" w:rsidRPr="00CA0A0C" w:rsidRDefault="00F160A9">
      <w:pPr>
        <w:pStyle w:val="Akapitzlist"/>
        <w:numPr>
          <w:ilvl w:val="1"/>
          <w:numId w:val="10"/>
        </w:numPr>
        <w:tabs>
          <w:tab w:val="left" w:pos="519"/>
        </w:tabs>
        <w:spacing w:before="8"/>
        <w:jc w:val="both"/>
        <w:rPr>
          <w:sz w:val="18"/>
        </w:rPr>
      </w:pPr>
      <w:r w:rsidRPr="00CA0A0C">
        <w:rPr>
          <w:color w:val="231F20"/>
          <w:spacing w:val="1"/>
          <w:sz w:val="18"/>
        </w:rPr>
        <w:t xml:space="preserve">warunki </w:t>
      </w:r>
      <w:r w:rsidRPr="00CA0A0C">
        <w:rPr>
          <w:color w:val="231F20"/>
          <w:sz w:val="18"/>
        </w:rPr>
        <w:t xml:space="preserve">i </w:t>
      </w:r>
      <w:proofErr w:type="spellStart"/>
      <w:r w:rsidRPr="00CA0A0C">
        <w:rPr>
          <w:color w:val="231F20"/>
          <w:sz w:val="18"/>
        </w:rPr>
        <w:t>sposóbrealizacji</w:t>
      </w:r>
      <w:proofErr w:type="spellEnd"/>
      <w:r w:rsidRPr="00CA0A0C">
        <w:rPr>
          <w:color w:val="231F20"/>
          <w:sz w:val="18"/>
        </w:rPr>
        <w:t>,</w:t>
      </w:r>
    </w:p>
    <w:p w:rsidR="00CE5C85" w:rsidRPr="00CA0A0C" w:rsidRDefault="00F160A9">
      <w:pPr>
        <w:spacing w:before="62" w:line="247" w:lineRule="auto"/>
        <w:ind w:left="291" w:right="1141"/>
        <w:jc w:val="both"/>
        <w:rPr>
          <w:sz w:val="18"/>
        </w:rPr>
      </w:pPr>
      <w:r w:rsidRPr="00CA0A0C">
        <w:rPr>
          <w:color w:val="231F20"/>
          <w:sz w:val="18"/>
        </w:rPr>
        <w:t xml:space="preserve">zamieszczone na s. 120–133 </w:t>
      </w:r>
      <w:r w:rsidRPr="00CA0A0C">
        <w:rPr>
          <w:rFonts w:ascii="CentSchbookEU" w:hAnsi="CentSchbookEU"/>
          <w:b/>
          <w:color w:val="231F20"/>
          <w:sz w:val="18"/>
        </w:rPr>
        <w:t xml:space="preserve">załącznika nr 2 podstawy programowej </w:t>
      </w:r>
      <w:r w:rsidRPr="00CA0A0C">
        <w:rPr>
          <w:color w:val="231F20"/>
          <w:sz w:val="18"/>
        </w:rPr>
        <w:t>(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Rozporządzenie MEN z dnia </w:t>
      </w:r>
      <w:r w:rsidRPr="00CA0A0C">
        <w:rPr>
          <w:rFonts w:ascii="CentSchbookEU" w:hAnsi="CentSchbookEU"/>
          <w:i/>
          <w:color w:val="231F20"/>
          <w:spacing w:val="-5"/>
          <w:sz w:val="18"/>
        </w:rPr>
        <w:t xml:space="preserve">14  </w:t>
      </w:r>
      <w:r w:rsidRPr="00CA0A0C">
        <w:rPr>
          <w:rFonts w:ascii="CentSchbookEU" w:hAnsi="CentSchbookEU"/>
          <w:i/>
          <w:color w:val="231F20"/>
          <w:sz w:val="18"/>
        </w:rPr>
        <w:t xml:space="preserve">lute-   go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2017  r.                       </w:t>
      </w:r>
      <w:r w:rsidRPr="00CA0A0C">
        <w:rPr>
          <w:rFonts w:ascii="CentSchbookEU" w:hAnsi="CentSchbookEU"/>
          <w:i/>
          <w:color w:val="231F20"/>
          <w:sz w:val="18"/>
        </w:rPr>
        <w:t>w sprawie podstawy programowej wychowania przedszkolnego oraz podstawy programowej kształcenia ogólnego dla szkoły podstawowej, w tym dla uczniów z niepełnosprawnością intelektualną w stopniu lekkim  lub znacznym, kształcenia ogólnego                dla szkoły branżowej I stopnia, kształcenia ogólnego dla szkoły specjalnej przysposabiającej do pracy oraz dla kształcenia ogólnego dla szkoły policealnej</w:t>
      </w:r>
      <w:r w:rsidRPr="00CA0A0C">
        <w:rPr>
          <w:color w:val="231F20"/>
          <w:sz w:val="18"/>
        </w:rPr>
        <w:t xml:space="preserve">; </w:t>
      </w:r>
      <w:proofErr w:type="spellStart"/>
      <w:r w:rsidRPr="00CA0A0C">
        <w:rPr>
          <w:color w:val="231F20"/>
          <w:spacing w:val="-3"/>
          <w:sz w:val="18"/>
        </w:rPr>
        <w:t>Dz.U</w:t>
      </w:r>
      <w:proofErr w:type="spellEnd"/>
      <w:r w:rsidRPr="00CA0A0C">
        <w:rPr>
          <w:color w:val="231F20"/>
          <w:spacing w:val="-3"/>
          <w:sz w:val="18"/>
        </w:rPr>
        <w:t xml:space="preserve">. </w:t>
      </w:r>
      <w:r w:rsidRPr="00CA0A0C">
        <w:rPr>
          <w:color w:val="231F20"/>
          <w:sz w:val="18"/>
        </w:rPr>
        <w:t xml:space="preserve">z </w:t>
      </w:r>
      <w:r w:rsidRPr="00CA0A0C">
        <w:rPr>
          <w:color w:val="231F20"/>
          <w:spacing w:val="-5"/>
          <w:sz w:val="18"/>
        </w:rPr>
        <w:t xml:space="preserve">2017 r., </w:t>
      </w:r>
      <w:r w:rsidRPr="00CA0A0C">
        <w:rPr>
          <w:color w:val="231F20"/>
          <w:sz w:val="18"/>
        </w:rPr>
        <w:t>poz.</w:t>
      </w:r>
      <w:r w:rsidRPr="00CA0A0C">
        <w:rPr>
          <w:color w:val="231F20"/>
          <w:spacing w:val="-4"/>
          <w:sz w:val="18"/>
        </w:rPr>
        <w:t>59).</w:t>
      </w:r>
    </w:p>
    <w:p w:rsidR="00CE5C85" w:rsidRPr="00CA0A0C" w:rsidRDefault="00F160A9">
      <w:pPr>
        <w:pStyle w:val="Tekstpodstawowy"/>
        <w:spacing w:before="1" w:line="249" w:lineRule="auto"/>
        <w:ind w:left="291" w:right="1141"/>
        <w:jc w:val="both"/>
      </w:pPr>
      <w:r w:rsidRPr="00CA0A0C">
        <w:rPr>
          <w:color w:val="231F20"/>
        </w:rPr>
        <w:t>Zanim nauczyciel zacznie opracowywać własne przedmiotowe zasady oceniania, powinien się zapoznać z celami kształceniaogólnegowszkolepodstawowej(s.</w:t>
      </w:r>
      <w:r w:rsidRPr="00CA0A0C">
        <w:rPr>
          <w:color w:val="231F20"/>
          <w:spacing w:val="-5"/>
        </w:rPr>
        <w:t>1),</w:t>
      </w:r>
      <w:r w:rsidRPr="00CA0A0C">
        <w:rPr>
          <w:color w:val="231F20"/>
        </w:rPr>
        <w:t>najważniejszymiumiejętnościamirozwijanymiwramachkształceniaogólnegowszkolepodstawowej(s.</w:t>
      </w:r>
      <w:r w:rsidRPr="00CA0A0C">
        <w:rPr>
          <w:color w:val="231F20"/>
          <w:spacing w:val="-3"/>
        </w:rPr>
        <w:t>2)</w:t>
      </w:r>
      <w:r w:rsidRPr="00CA0A0C">
        <w:rPr>
          <w:color w:val="231F20"/>
        </w:rPr>
        <w:t xml:space="preserve">orazkomentarzemdonauczaniabiologii(s.14–15).Nauczycielewszystkich przedmiotów, w tym nauczyciele biologii, powinni się również zapoznać z zadaniami szkoły szczegółowo opisanymi na s. </w:t>
      </w:r>
      <w:r w:rsidRPr="00CA0A0C">
        <w:rPr>
          <w:color w:val="231F20"/>
          <w:spacing w:val="5"/>
        </w:rPr>
        <w:t xml:space="preserve">2–5 </w:t>
      </w:r>
      <w:r w:rsidRPr="00CA0A0C">
        <w:rPr>
          <w:color w:val="231F20"/>
        </w:rPr>
        <w:t xml:space="preserve">omawianego dokumentu. Znajduje się </w:t>
      </w:r>
      <w:r w:rsidRPr="00CA0A0C">
        <w:rPr>
          <w:color w:val="231F20"/>
          <w:spacing w:val="1"/>
        </w:rPr>
        <w:t xml:space="preserve">tam </w:t>
      </w:r>
      <w:r w:rsidRPr="00CA0A0C">
        <w:rPr>
          <w:color w:val="231F20"/>
        </w:rPr>
        <w:t xml:space="preserve">między innymi komentarz zobowiązujący do wykorzystania   w procesie edukacji metody projektu, co jest szczególnie przydatne w </w:t>
      </w:r>
      <w:proofErr w:type="spellStart"/>
      <w:r w:rsidRPr="00CA0A0C">
        <w:rPr>
          <w:color w:val="231F20"/>
        </w:rPr>
        <w:t>nauczaniubiologii</w:t>
      </w:r>
      <w:proofErr w:type="spellEnd"/>
      <w:r w:rsidRPr="00CA0A0C">
        <w:rPr>
          <w:color w:val="231F20"/>
        </w:rPr>
        <w:t>.</w:t>
      </w:r>
    </w:p>
    <w:p w:rsidR="00CE5C85" w:rsidRPr="00CA0A0C" w:rsidRDefault="00F160A9">
      <w:pPr>
        <w:pStyle w:val="Tekstpodstawowy"/>
        <w:spacing w:line="249" w:lineRule="auto"/>
        <w:ind w:left="291" w:right="1141"/>
        <w:jc w:val="both"/>
      </w:pPr>
      <w:r w:rsidRPr="00CA0A0C">
        <w:rPr>
          <w:color w:val="231F20"/>
        </w:rPr>
        <w:t xml:space="preserve">Wprowadzenie 8-letniej szkoły podstawowej ułatwi formułowanie </w:t>
      </w:r>
      <w:r w:rsidRPr="00CA0A0C">
        <w:rPr>
          <w:color w:val="231F20"/>
          <w:spacing w:val="1"/>
        </w:rPr>
        <w:t xml:space="preserve">wymagań </w:t>
      </w:r>
      <w:r w:rsidRPr="00CA0A0C">
        <w:rPr>
          <w:color w:val="231F20"/>
        </w:rPr>
        <w:t xml:space="preserve">dostosowanych do możliwości intelektualnych uczniów, z którymi nauczyciel rozpocznie naukę biologii w klasie 5. Warto się zainteresować ocenami   z przyrody uzyskanymi przez uczniów w klasie 4. </w:t>
      </w:r>
      <w:r w:rsidRPr="00CA0A0C">
        <w:rPr>
          <w:color w:val="231F20"/>
          <w:spacing w:val="1"/>
        </w:rPr>
        <w:t xml:space="preserve">Będą </w:t>
      </w:r>
      <w:r w:rsidRPr="00CA0A0C">
        <w:rPr>
          <w:color w:val="231F20"/>
        </w:rPr>
        <w:t xml:space="preserve">one wskazówką do doprecyzowania </w:t>
      </w:r>
      <w:r w:rsidRPr="00CA0A0C">
        <w:rPr>
          <w:color w:val="231F20"/>
          <w:spacing w:val="1"/>
        </w:rPr>
        <w:t xml:space="preserve">wymagań </w:t>
      </w:r>
      <w:r w:rsidRPr="00CA0A0C">
        <w:rPr>
          <w:color w:val="231F20"/>
        </w:rPr>
        <w:t>na poszczególne</w:t>
      </w:r>
      <w:r w:rsidRPr="00CA0A0C">
        <w:rPr>
          <w:color w:val="231F20"/>
          <w:spacing w:val="-3"/>
        </w:rPr>
        <w:t>oceny.</w:t>
      </w:r>
      <w:r w:rsidRPr="00CA0A0C">
        <w:rPr>
          <w:color w:val="231F20"/>
        </w:rPr>
        <w:t xml:space="preserve">Napierwszelekcjebiologiiwklasie5możnateżzaplanowaćtestdiagnozywstępnejzzadaniamisprawdzającymi  </w:t>
      </w:r>
      <w:proofErr w:type="spellStart"/>
      <w:r w:rsidRPr="00CA0A0C">
        <w:rPr>
          <w:color w:val="231F20"/>
        </w:rPr>
        <w:t>różneumiejętności</w:t>
      </w:r>
      <w:proofErr w:type="spellEnd"/>
      <w:r w:rsidRPr="00CA0A0C">
        <w:rPr>
          <w:color w:val="231F20"/>
        </w:rPr>
        <w:t>.</w:t>
      </w:r>
    </w:p>
    <w:p w:rsidR="00CE5C85" w:rsidRPr="00CA0A0C" w:rsidRDefault="00F160A9">
      <w:pPr>
        <w:pStyle w:val="Tekstpodstawowy"/>
        <w:spacing w:line="249" w:lineRule="auto"/>
        <w:ind w:left="291" w:right="1141"/>
        <w:jc w:val="both"/>
      </w:pPr>
      <w:r w:rsidRPr="00CA0A0C">
        <w:rPr>
          <w:color w:val="231F20"/>
        </w:rPr>
        <w:t xml:space="preserve">W okresie przejściowym </w:t>
      </w:r>
      <w:r w:rsidRPr="00CA0A0C">
        <w:rPr>
          <w:color w:val="231F20"/>
          <w:spacing w:val="-5"/>
        </w:rPr>
        <w:t xml:space="preserve">(w </w:t>
      </w:r>
      <w:r w:rsidRPr="00CA0A0C">
        <w:rPr>
          <w:color w:val="231F20"/>
        </w:rPr>
        <w:t xml:space="preserve">klasie </w:t>
      </w:r>
      <w:r w:rsidRPr="00CA0A0C">
        <w:rPr>
          <w:color w:val="231F20"/>
          <w:spacing w:val="-4"/>
        </w:rPr>
        <w:t xml:space="preserve">7, </w:t>
      </w:r>
      <w:r w:rsidRPr="00CA0A0C">
        <w:rPr>
          <w:color w:val="231F20"/>
        </w:rPr>
        <w:t xml:space="preserve">a za rok – w klasie </w:t>
      </w:r>
      <w:r w:rsidRPr="00CA0A0C">
        <w:rPr>
          <w:color w:val="231F20"/>
          <w:spacing w:val="-3"/>
        </w:rPr>
        <w:t xml:space="preserve">8) </w:t>
      </w:r>
      <w:r w:rsidRPr="00CA0A0C">
        <w:rPr>
          <w:color w:val="231F20"/>
        </w:rPr>
        <w:t xml:space="preserve">nauczyciel może przeprowadzić test diagnozy wstępnej, który pokaże, które umiejętności uczniowie już opanowali, a nad którymi należy jeszcze pracować. Informując o wynikach oceniania, nauczyciel powinien pamiętać o motywacyjnej funkcji oceny i wspierającej roli informacji zwrotnej w rozwoju ucznia. Przy formułowaniu </w:t>
      </w:r>
      <w:r w:rsidRPr="00CA0A0C">
        <w:rPr>
          <w:color w:val="231F20"/>
          <w:spacing w:val="1"/>
        </w:rPr>
        <w:t xml:space="preserve">wymagań warto </w:t>
      </w:r>
      <w:r w:rsidRPr="00CA0A0C">
        <w:rPr>
          <w:color w:val="231F20"/>
        </w:rPr>
        <w:t xml:space="preserve">mieć też na uwadze, że zaczyna się edukację biologii z uczniami nawet o trzy lata młodszymi od tych, którzy rozpoczynali naukę tego przedmiotu w gimnazjum. Warto również pamiętać o wewnętrznej spójności zasad oceniania                               i możliwości regulowania progów </w:t>
      </w:r>
      <w:r w:rsidRPr="00CA0A0C">
        <w:rPr>
          <w:color w:val="231F20"/>
          <w:spacing w:val="1"/>
        </w:rPr>
        <w:t xml:space="preserve">wymagań </w:t>
      </w:r>
      <w:r w:rsidRPr="00CA0A0C">
        <w:rPr>
          <w:color w:val="231F20"/>
        </w:rPr>
        <w:t xml:space="preserve">punktowych na </w:t>
      </w:r>
      <w:proofErr w:type="spellStart"/>
      <w:r w:rsidRPr="00CA0A0C">
        <w:rPr>
          <w:color w:val="231F20"/>
        </w:rPr>
        <w:t>poszczególne</w:t>
      </w:r>
      <w:r w:rsidRPr="00CA0A0C">
        <w:rPr>
          <w:color w:val="231F20"/>
          <w:spacing w:val="-3"/>
        </w:rPr>
        <w:t>oceny</w:t>
      </w:r>
      <w:proofErr w:type="spellEnd"/>
      <w:r w:rsidRPr="00CA0A0C">
        <w:rPr>
          <w:color w:val="231F20"/>
          <w:spacing w:val="-3"/>
        </w:rPr>
        <w:t>.</w:t>
      </w:r>
    </w:p>
    <w:p w:rsidR="00CE5C85" w:rsidRPr="00CA0A0C" w:rsidRDefault="00CE5C85">
      <w:pPr>
        <w:spacing w:line="249" w:lineRule="auto"/>
        <w:jc w:val="both"/>
        <w:sectPr w:rsidR="00CE5C85" w:rsidRPr="00CA0A0C">
          <w:type w:val="continuous"/>
          <w:pgSz w:w="11630" w:h="15600"/>
          <w:pgMar w:top="0" w:right="0" w:bottom="280" w:left="740" w:header="708" w:footer="708" w:gutter="0"/>
          <w:cols w:space="708"/>
        </w:sectPr>
      </w:pPr>
    </w:p>
    <w:p w:rsidR="00CE5C85" w:rsidRPr="00CA0A0C" w:rsidRDefault="00CE5C85">
      <w:pPr>
        <w:pStyle w:val="Tekstpodstawowy"/>
        <w:ind w:left="0"/>
        <w:rPr>
          <w:sz w:val="20"/>
        </w:rPr>
      </w:pPr>
    </w:p>
    <w:p w:rsidR="00CE5C85" w:rsidRPr="00CA0A0C" w:rsidRDefault="00CE5C85">
      <w:pPr>
        <w:pStyle w:val="Tekstpodstawowy"/>
        <w:spacing w:before="6"/>
        <w:ind w:left="0"/>
        <w:rPr>
          <w:sz w:val="21"/>
        </w:rPr>
      </w:pPr>
    </w:p>
    <w:p w:rsidR="00CE5C85" w:rsidRPr="00CA0A0C" w:rsidRDefault="008C09B0">
      <w:pPr>
        <w:pStyle w:val="Nagwek1"/>
        <w:spacing w:before="0"/>
        <w:ind w:left="963" w:firstLine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0;margin-top:-47.15pt;width:48.2pt;height:19.8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jsfQIAAP4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" fillcolor="#00377b" stroked="f">
            <v:textbox inset="0,0,0,0">
              <w:txbxContent>
                <w:p w:rsidR="00CE5C85" w:rsidRDefault="00F160A9">
                  <w:pPr>
                    <w:spacing w:before="142"/>
                    <w:ind w:right="88"/>
                    <w:jc w:val="right"/>
                    <w:rPr>
                      <w:rFonts w:ascii="Swis721BlkEU-Italic"/>
                      <w:i/>
                      <w:sz w:val="15"/>
                    </w:rPr>
                  </w:pPr>
                  <w:r>
                    <w:rPr>
                      <w:rFonts w:ascii="Swis721BlkEU-Italic"/>
                      <w:i/>
                      <w:color w:val="FFFFFF"/>
                      <w:sz w:val="15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F160A9" w:rsidRPr="00CA0A0C">
        <w:rPr>
          <w:color w:val="231F20"/>
        </w:rPr>
        <w:t>Formy i zasady bieżącego oceniania</w:t>
      </w:r>
    </w:p>
    <w:p w:rsidR="00CE5C85" w:rsidRPr="00CA0A0C" w:rsidRDefault="00CE5C85">
      <w:pPr>
        <w:pStyle w:val="Tekstpodstawowy"/>
        <w:spacing w:before="2"/>
        <w:ind w:left="0"/>
        <w:rPr>
          <w:rFonts w:ascii="CentSchbookEU"/>
          <w:b/>
          <w:sz w:val="7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3712"/>
      </w:tblGrid>
      <w:tr w:rsidR="00CE5C85" w:rsidRPr="00CA0A0C" w:rsidTr="00F160A9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Prace pisemne w klasie</w:t>
            </w:r>
          </w:p>
        </w:tc>
      </w:tr>
      <w:tr w:rsidR="00CE5C85" w:rsidRPr="00CA0A0C" w:rsidTr="00F160A9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444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89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Zasady przeprowadzania</w:t>
            </w:r>
          </w:p>
        </w:tc>
      </w:tr>
      <w:tr w:rsidR="00CE5C85" w:rsidRPr="00CA0A0C" w:rsidTr="00F160A9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Prace klasowe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19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przy 2 h tygodniowo dwie prace klasowe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zapowiadane przynajmniej                                      z tygodniowym wyprzedzeniem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informacja o pracy klasowej zanotowana wcześniej w dzienniku lekcyjnym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pracę klasową poprzedza powtórzenie materiału nauczania</w:t>
            </w:r>
          </w:p>
        </w:tc>
      </w:tr>
      <w:tr w:rsidR="00CE5C85" w:rsidRPr="00CA0A0C" w:rsidTr="00F160A9">
        <w:trPr>
          <w:trHeight w:val="7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51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przy 2 h tygodniowo jeden sprawdzian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zapowiedziane z tygodniowym wyprzedzeniem</w:t>
            </w:r>
          </w:p>
        </w:tc>
      </w:tr>
      <w:tr w:rsidR="00CE5C85" w:rsidRPr="00CA0A0C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 xml:space="preserve">Prace pisemne </w:t>
            </w:r>
            <w:proofErr w:type="spellStart"/>
            <w:r w:rsidRPr="00CA0A0C">
              <w:rPr>
                <w:rFonts w:ascii="Humanst521EU"/>
                <w:b/>
                <w:color w:val="B8292F"/>
                <w:sz w:val="17"/>
              </w:rPr>
              <w:t>wdomu</w:t>
            </w:r>
            <w:proofErr w:type="spellEnd"/>
          </w:p>
        </w:tc>
      </w:tr>
      <w:tr w:rsidR="00CE5C85" w:rsidRPr="00CA0A0C" w:rsidTr="00F160A9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28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                        z bieżącej lekcji lub przygotowanie</w:t>
            </w:r>
          </w:p>
          <w:p w:rsidR="00CE5C85" w:rsidRPr="00CA0A0C" w:rsidRDefault="00F160A9">
            <w:pPr>
              <w:pStyle w:val="TableParagraph"/>
              <w:spacing w:before="0" w:line="235" w:lineRule="auto"/>
              <w:ind w:right="36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przy 2 h tygodniowo dwie prace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zróżnicowane zadania zgodnie                                      z realizowanym materiałem</w:t>
            </w:r>
          </w:p>
        </w:tc>
      </w:tr>
      <w:tr w:rsidR="00CE5C85" w:rsidRPr="00CA0A0C" w:rsidTr="00F160A9">
        <w:trPr>
          <w:trHeight w:val="14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ind w:right="89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zasady prowadzenia zeszytu ćwiczeń powinny zostać ustalone na pierwszej lekcji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CE5C85" w:rsidRPr="00CA0A0C" w:rsidTr="00F160A9">
        <w:trPr>
          <w:trHeight w:val="18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prace badawcze, obserwacje i hodowle wskazane</w:t>
            </w:r>
          </w:p>
          <w:p w:rsidR="00CE5C85" w:rsidRPr="00CA0A0C" w:rsidRDefault="00F160A9">
            <w:pPr>
              <w:pStyle w:val="TableParagraph"/>
              <w:spacing w:before="0" w:line="202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podstawie programowej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związane</w:t>
            </w:r>
          </w:p>
          <w:p w:rsidR="00CE5C85" w:rsidRPr="00CA0A0C" w:rsidRDefault="00F160A9">
            <w:pPr>
              <w:pStyle w:val="TableParagraph"/>
              <w:spacing w:before="0" w:line="204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 projektami edukacyjnymi</w:t>
            </w:r>
          </w:p>
          <w:p w:rsidR="00CE5C85" w:rsidRPr="00CA0A0C" w:rsidRDefault="00F160A9">
            <w:pPr>
              <w:pStyle w:val="TableParagraph"/>
              <w:spacing w:before="2" w:line="235" w:lineRule="auto"/>
              <w:ind w:left="221" w:right="24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– wykonywanie plakatów, prezentacji PowerPoint do bieżącego materiału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kierowane do pracy w grupach</w:t>
            </w:r>
          </w:p>
          <w:p w:rsidR="00CE5C85" w:rsidRPr="00CA0A0C" w:rsidRDefault="00F160A9">
            <w:pPr>
              <w:pStyle w:val="TableParagraph"/>
              <w:spacing w:before="2" w:line="235" w:lineRule="auto"/>
              <w:ind w:left="221" w:right="30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lub dla uczniów szczególnie zainteresowanych biologią</w:t>
            </w:r>
          </w:p>
        </w:tc>
      </w:tr>
      <w:tr w:rsidR="00CE5C85" w:rsidRPr="00CA0A0C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Odpowiedzi ustne</w:t>
            </w:r>
          </w:p>
        </w:tc>
      </w:tr>
      <w:tr w:rsidR="00CE5C85" w:rsidRPr="00CA0A0C" w:rsidTr="00F160A9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bez zapowiedzi</w:t>
            </w:r>
          </w:p>
        </w:tc>
      </w:tr>
      <w:tr w:rsidR="00CE5C85" w:rsidRPr="00CA0A0C" w:rsidTr="00F160A9">
        <w:trPr>
          <w:trHeight w:val="8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częstotliwość dowolna,</w:t>
            </w:r>
          </w:p>
          <w:p w:rsidR="00CE5C85" w:rsidRPr="00CA0A0C" w:rsidRDefault="00F160A9">
            <w:pPr>
              <w:pStyle w:val="TableParagraph"/>
              <w:spacing w:before="2" w:line="235" w:lineRule="auto"/>
              <w:ind w:right="28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66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uczniowie sami zgłaszają się                                  do odpowiedzi lub są wyznaczani                    przez nauczyciela</w:t>
            </w:r>
          </w:p>
        </w:tc>
      </w:tr>
      <w:tr w:rsidR="00CE5C85" w:rsidRPr="00CA0A0C" w:rsidTr="00F160A9">
        <w:trPr>
          <w:trHeight w:val="108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3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32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CE5C85" w:rsidRPr="00CA0A0C" w:rsidTr="00F160A9">
        <w:trPr>
          <w:trHeight w:val="150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oceniana jest aktywność, zaangażowanie, umiejętność pracy                    w grupie lub w parach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ocenianiu można uwzględnić ocenę koleżeńską lub samoocenę, uzasadniając ją w informacji zwrotnej</w:t>
            </w:r>
          </w:p>
        </w:tc>
      </w:tr>
    </w:tbl>
    <w:p w:rsidR="00CE5C85" w:rsidRPr="00CA0A0C" w:rsidRDefault="00CE5C85">
      <w:pPr>
        <w:spacing w:line="235" w:lineRule="auto"/>
        <w:rPr>
          <w:sz w:val="17"/>
        </w:rPr>
        <w:sectPr w:rsidR="00CE5C85" w:rsidRPr="00CA0A0C">
          <w:pgSz w:w="11630" w:h="15600"/>
          <w:pgMar w:top="0" w:right="740" w:bottom="280" w:left="0" w:header="708" w:footer="708" w:gutter="0"/>
          <w:cols w:space="708"/>
        </w:sectPr>
      </w:pPr>
    </w:p>
    <w:p w:rsidR="00CE5C85" w:rsidRPr="00CA0A0C" w:rsidRDefault="00CE5C85">
      <w:pPr>
        <w:pStyle w:val="Tekstpodstawowy"/>
        <w:ind w:left="7650"/>
        <w:rPr>
          <w:rFonts w:ascii="CentSchbookEU"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CentSchbookEU"/>
          <w:b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CentSchbookEU"/>
          <w:b/>
          <w:sz w:val="21"/>
        </w:rPr>
      </w:pPr>
    </w:p>
    <w:p w:rsidR="00CE5C85" w:rsidRPr="00CA0A0C" w:rsidRDefault="00F160A9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Pozostałe przedmiotowe zasady oceniania</w:t>
      </w:r>
    </w:p>
    <w:p w:rsidR="00CE5C85" w:rsidRPr="00CA0A0C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CentSchbookEU"/>
          <w:b/>
          <w:sz w:val="18"/>
        </w:rPr>
      </w:pPr>
      <w:r w:rsidRPr="00CA0A0C">
        <w:rPr>
          <w:rFonts w:ascii="CentSchbookEU"/>
          <w:b/>
          <w:color w:val="231F20"/>
          <w:sz w:val="18"/>
        </w:rPr>
        <w:t xml:space="preserve">Pisemne </w:t>
      </w:r>
      <w:proofErr w:type="spellStart"/>
      <w:r w:rsidRPr="00CA0A0C">
        <w:rPr>
          <w:rFonts w:ascii="CentSchbookEU"/>
          <w:b/>
          <w:color w:val="231F20"/>
          <w:sz w:val="18"/>
        </w:rPr>
        <w:t>praceklasowe</w:t>
      </w:r>
      <w:proofErr w:type="spellEnd"/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 xml:space="preserve">Pisemne prace klasowe </w:t>
      </w:r>
      <w:proofErr w:type="spellStart"/>
      <w:r w:rsidRPr="00CA0A0C">
        <w:rPr>
          <w:color w:val="231F20"/>
          <w:sz w:val="18"/>
        </w:rPr>
        <w:t>sąobowiązkowe</w:t>
      </w:r>
      <w:proofErr w:type="spellEnd"/>
      <w:r w:rsidRPr="00CA0A0C">
        <w:rPr>
          <w:color w:val="231F20"/>
          <w:sz w:val="18"/>
        </w:rPr>
        <w:t>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W przypadku nieobecności usprawiedliwionej uczeń musi napisać pracę klasową w </w:t>
      </w:r>
      <w:r w:rsidRPr="00CA0A0C">
        <w:rPr>
          <w:color w:val="231F20"/>
          <w:spacing w:val="2"/>
          <w:sz w:val="18"/>
        </w:rPr>
        <w:t xml:space="preserve">ciągu </w:t>
      </w:r>
      <w:r w:rsidRPr="00CA0A0C">
        <w:rPr>
          <w:color w:val="231F20"/>
          <w:sz w:val="18"/>
        </w:rPr>
        <w:t xml:space="preserve">dwóch tygodni od daty powrotu                    </w:t>
      </w:r>
      <w:proofErr w:type="spellStart"/>
      <w:r w:rsidRPr="00CA0A0C">
        <w:rPr>
          <w:color w:val="231F20"/>
          <w:sz w:val="18"/>
        </w:rPr>
        <w:t>doszkoły</w:t>
      </w:r>
      <w:proofErr w:type="spellEnd"/>
      <w:r w:rsidRPr="00CA0A0C">
        <w:rPr>
          <w:color w:val="231F20"/>
          <w:sz w:val="18"/>
        </w:rPr>
        <w:t>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Jeżeli nieobecność jest nieusprawiedliwiona, uczeń przystępuje do pracy klasowej na pierwszej lekcji, na którą przyszedł.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Uczeń ma prawo raz w półroczu poprawić pracę klasową. Obie oceny są wpisywane do dziennika, a pod uwagę jest brana ocena poprawkowa, nawet jeśli jest niższa </w:t>
      </w:r>
      <w:proofErr w:type="spellStart"/>
      <w:r w:rsidRPr="00CA0A0C">
        <w:rPr>
          <w:color w:val="231F20"/>
          <w:sz w:val="18"/>
        </w:rPr>
        <w:t>odpoprawianej</w:t>
      </w:r>
      <w:proofErr w:type="spellEnd"/>
      <w:r w:rsidRPr="00CA0A0C">
        <w:rPr>
          <w:color w:val="231F20"/>
          <w:sz w:val="18"/>
        </w:rPr>
        <w:t>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</w:pPr>
      <w:r w:rsidRPr="00CA0A0C">
        <w:rPr>
          <w:color w:val="231F20"/>
        </w:rPr>
        <w:t>Sprawdziany</w:t>
      </w:r>
    </w:p>
    <w:p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>Nieobecność ucznia na sprawdzianie nie obliguje go do pisemnego zaliczenia danej partii materiału.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 xml:space="preserve">Wymagania na poszczególne oceny szkolne z </w:t>
      </w:r>
      <w:proofErr w:type="spellStart"/>
      <w:r w:rsidRPr="00CA0A0C">
        <w:rPr>
          <w:color w:val="231F20"/>
        </w:rPr>
        <w:t>pracpisemnych</w:t>
      </w:r>
      <w:proofErr w:type="spellEnd"/>
    </w:p>
    <w:p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>−  100–98% – celujący</w:t>
      </w:r>
    </w:p>
    <w:p w:rsidR="00CE5C85" w:rsidRPr="00CA0A0C" w:rsidRDefault="00F160A9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z w:val="18"/>
        </w:rPr>
        <w:t xml:space="preserve">97–90% – </w:t>
      </w:r>
      <w:proofErr w:type="spellStart"/>
      <w:r w:rsidRPr="00CA0A0C">
        <w:rPr>
          <w:color w:val="231F20"/>
          <w:sz w:val="18"/>
        </w:rPr>
        <w:t>bardzodobry</w:t>
      </w:r>
      <w:proofErr w:type="spellEnd"/>
    </w:p>
    <w:p w:rsidR="00CE5C85" w:rsidRPr="00CA0A0C" w:rsidRDefault="00F160A9">
      <w:pPr>
        <w:pStyle w:val="Tekstpodstawowy"/>
        <w:spacing w:before="7"/>
        <w:ind w:left="337"/>
      </w:pPr>
      <w:r w:rsidRPr="00CA0A0C">
        <w:rPr>
          <w:color w:val="231F20"/>
        </w:rPr>
        <w:t>−  89–71% – dobry</w:t>
      </w:r>
    </w:p>
    <w:p w:rsidR="00CE5C85" w:rsidRPr="00CA0A0C" w:rsidRDefault="00F160A9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pacing w:val="2"/>
          <w:sz w:val="18"/>
        </w:rPr>
        <w:t xml:space="preserve">70–50% </w:t>
      </w:r>
      <w:r w:rsidRPr="00CA0A0C">
        <w:rPr>
          <w:color w:val="231F20"/>
          <w:sz w:val="18"/>
        </w:rPr>
        <w:t>–dostateczny</w:t>
      </w:r>
    </w:p>
    <w:p w:rsidR="00CE5C85" w:rsidRPr="00CA0A0C" w:rsidRDefault="00F160A9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z w:val="18"/>
        </w:rPr>
        <w:t>49–31% –dopuszczający</w:t>
      </w:r>
    </w:p>
    <w:p w:rsidR="00CE5C85" w:rsidRPr="00CA0A0C" w:rsidRDefault="00F160A9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pacing w:val="3"/>
          <w:sz w:val="18"/>
        </w:rPr>
        <w:t xml:space="preserve">30–0% </w:t>
      </w:r>
      <w:r w:rsidRPr="00CA0A0C">
        <w:rPr>
          <w:color w:val="231F20"/>
          <w:sz w:val="18"/>
        </w:rPr>
        <w:t>–niedostateczny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proofErr w:type="spellStart"/>
      <w:r w:rsidRPr="00CA0A0C">
        <w:rPr>
          <w:color w:val="231F20"/>
        </w:rPr>
        <w:t>Odpowiedziustne</w:t>
      </w:r>
      <w:proofErr w:type="spellEnd"/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Przywystawianiuocenyzaodpowiedźustnąnauczycieljestzobowiązanydoudzieleniauczniowiinformacjizwrotnej.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Uczeń ma prawo być nieprzygotowany do odpowiedzi ustnej bez usprawiedliwienia raz w półroczu. Nieprzygotowaniezgłaszanauczycielowiprzedlekcjąlubnajejpoczątku,zanimnauczycielwywołagodoodpowiedzi.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jc w:val="both"/>
        <w:rPr>
          <w:sz w:val="18"/>
        </w:rPr>
      </w:pPr>
      <w:r w:rsidRPr="00CA0A0C">
        <w:rPr>
          <w:color w:val="231F20"/>
          <w:sz w:val="18"/>
        </w:rPr>
        <w:t xml:space="preserve">Kolejne nieprzygotowanie może zgłosić uczeń uczęszczający do dwóch szkół </w:t>
      </w:r>
      <w:r w:rsidRPr="00CA0A0C">
        <w:rPr>
          <w:color w:val="231F20"/>
          <w:spacing w:val="-3"/>
          <w:sz w:val="18"/>
        </w:rPr>
        <w:t xml:space="preserve">(np. </w:t>
      </w:r>
      <w:r w:rsidRPr="00CA0A0C">
        <w:rPr>
          <w:color w:val="231F20"/>
          <w:sz w:val="18"/>
        </w:rPr>
        <w:t>muzycznej), w okresie odbywających się przesłuchań i egzaminów albo reprezentujący szkołę w ważnych konkursach artystycznych lub zawodach sportowych.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</w:pPr>
      <w:r w:rsidRPr="00CA0A0C">
        <w:rPr>
          <w:color w:val="231F20"/>
        </w:rPr>
        <w:t>Prace domowe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 xml:space="preserve">Uczeń ma prawo nie wykonać w półroczu jednej pracy, ale musi ją uzupełnić na </w:t>
      </w:r>
      <w:proofErr w:type="spellStart"/>
      <w:r w:rsidRPr="00CA0A0C">
        <w:rPr>
          <w:color w:val="231F20"/>
          <w:sz w:val="18"/>
        </w:rPr>
        <w:t>następnąlekcję</w:t>
      </w:r>
      <w:proofErr w:type="spellEnd"/>
      <w:r w:rsidRPr="00CA0A0C">
        <w:rPr>
          <w:color w:val="231F20"/>
          <w:sz w:val="18"/>
        </w:rPr>
        <w:t>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>Zadaniazwiązanezrealizacjąprojektuedukacyjnegoregulujerozporządzenieoocenianiu.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 xml:space="preserve">Praca </w:t>
      </w:r>
      <w:proofErr w:type="spellStart"/>
      <w:r w:rsidRPr="00CA0A0C">
        <w:rPr>
          <w:color w:val="231F20"/>
        </w:rPr>
        <w:t>nalekcji</w:t>
      </w:r>
      <w:proofErr w:type="spellEnd"/>
    </w:p>
    <w:p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>Uczeń może otrzymać ocenę celującą, jeżeli: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 xml:space="preserve">samodzielnie zaprojektuje i wykona doświadczenie na lekcji lub omówi doświadczenie wykonane </w:t>
      </w:r>
      <w:proofErr w:type="spellStart"/>
      <w:r w:rsidRPr="00CA0A0C">
        <w:rPr>
          <w:color w:val="231F20"/>
          <w:sz w:val="18"/>
        </w:rPr>
        <w:t>wdomu</w:t>
      </w:r>
      <w:proofErr w:type="spellEnd"/>
      <w:r w:rsidRPr="00CA0A0C">
        <w:rPr>
          <w:color w:val="231F20"/>
          <w:sz w:val="18"/>
        </w:rPr>
        <w:t>,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 xml:space="preserve">aktywnie uczestniczy w lekcji z zadawaniem </w:t>
      </w:r>
      <w:proofErr w:type="spellStart"/>
      <w:r w:rsidRPr="00CA0A0C">
        <w:rPr>
          <w:color w:val="231F20"/>
          <w:spacing w:val="1"/>
          <w:sz w:val="18"/>
        </w:rPr>
        <w:t>pytań</w:t>
      </w:r>
      <w:r w:rsidRPr="00CA0A0C">
        <w:rPr>
          <w:color w:val="231F20"/>
          <w:sz w:val="18"/>
        </w:rPr>
        <w:t>aktywnych</w:t>
      </w:r>
      <w:proofErr w:type="spellEnd"/>
      <w:r w:rsidRPr="00CA0A0C">
        <w:rPr>
          <w:color w:val="231F20"/>
          <w:sz w:val="18"/>
        </w:rPr>
        <w:t>,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 xml:space="preserve">przygotuje materiały do </w:t>
      </w:r>
      <w:proofErr w:type="spellStart"/>
      <w:r w:rsidRPr="00CA0A0C">
        <w:rPr>
          <w:color w:val="231F20"/>
          <w:sz w:val="18"/>
        </w:rPr>
        <w:t>lekcjiodwróconej</w:t>
      </w:r>
      <w:proofErr w:type="spellEnd"/>
      <w:r w:rsidRPr="00CA0A0C">
        <w:rPr>
          <w:color w:val="231F20"/>
          <w:sz w:val="18"/>
        </w:rPr>
        <w:t>.</w:t>
      </w:r>
    </w:p>
    <w:p w:rsidR="00CE5C85" w:rsidRPr="00CA0A0C" w:rsidRDefault="00CE5C85">
      <w:pPr>
        <w:pStyle w:val="Tekstpodstawowy"/>
        <w:ind w:left="0"/>
        <w:rPr>
          <w:sz w:val="19"/>
        </w:rPr>
      </w:pPr>
    </w:p>
    <w:p w:rsidR="00CE5C85" w:rsidRPr="00CA0A0C" w:rsidRDefault="00F160A9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Sprawdzenie i ocenianie sumujące postępy ucznia</w:t>
      </w:r>
    </w:p>
    <w:p w:rsidR="00CE5C85" w:rsidRPr="00CA0A0C" w:rsidRDefault="00F160A9">
      <w:pPr>
        <w:pStyle w:val="Tekstpodstawowy"/>
        <w:spacing w:before="61" w:line="249" w:lineRule="auto"/>
        <w:ind w:left="110" w:right="1335"/>
      </w:pPr>
      <w:r w:rsidRPr="00CA0A0C">
        <w:rPr>
          <w:color w:val="231F20"/>
        </w:rPr>
        <w:t xml:space="preserve">Podsumowaniem edukacyjnych osiągnięć ucznia w danym roku szkolnym są </w:t>
      </w:r>
      <w:r w:rsidRPr="00CA0A0C">
        <w:rPr>
          <w:rFonts w:ascii="CentSchbookEU" w:hAnsi="CentSchbookEU"/>
          <w:b/>
          <w:color w:val="231F20"/>
        </w:rPr>
        <w:t xml:space="preserve">ocena śródroczna </w:t>
      </w:r>
      <w:r w:rsidRPr="00CA0A0C">
        <w:rPr>
          <w:color w:val="231F20"/>
        </w:rPr>
        <w:t xml:space="preserve">i </w:t>
      </w:r>
      <w:r w:rsidRPr="00CA0A0C">
        <w:rPr>
          <w:rFonts w:ascii="CentSchbookEU" w:hAnsi="CentSchbookEU"/>
          <w:b/>
          <w:color w:val="231F20"/>
        </w:rPr>
        <w:t>ocena roczna</w:t>
      </w:r>
      <w:r w:rsidRPr="00CA0A0C">
        <w:rPr>
          <w:color w:val="231F20"/>
        </w:rPr>
        <w:t>. Wystawia                       je nauczyciel po uwzględnieniu wszystkich form aktywności ucznia oraz wagi ocen cząstkowych.</w:t>
      </w:r>
    </w:p>
    <w:p w:rsidR="00CE5C85" w:rsidRPr="00CA0A0C" w:rsidRDefault="00CE5C85">
      <w:pPr>
        <w:pStyle w:val="Tekstpodstawowy"/>
        <w:spacing w:before="10"/>
        <w:ind w:left="0"/>
        <w:rPr>
          <w:sz w:val="22"/>
        </w:rPr>
      </w:pPr>
    </w:p>
    <w:p w:rsidR="00CE5C85" w:rsidRPr="00CA0A0C" w:rsidRDefault="00F160A9">
      <w:pPr>
        <w:spacing w:line="247" w:lineRule="auto"/>
        <w:ind w:left="110" w:right="961"/>
        <w:jc w:val="both"/>
        <w:rPr>
          <w:rFonts w:ascii="CentSchbookEU" w:hAnsi="CentSchbookEU"/>
          <w:i/>
          <w:sz w:val="18"/>
        </w:rPr>
      </w:pPr>
      <w:r w:rsidRPr="00CA0A0C">
        <w:rPr>
          <w:color w:val="231F20"/>
          <w:sz w:val="18"/>
        </w:rPr>
        <w:t xml:space="preserve">Przedmiotowe zasady oceniania zostały opracowane na podstawie wytycznych zawartych w 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Rozporządzeniu MEN z dnia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10 </w:t>
      </w:r>
      <w:r w:rsidRPr="00CA0A0C">
        <w:rPr>
          <w:rFonts w:ascii="CentSchbookEU" w:hAnsi="CentSchbookEU"/>
          <w:i/>
          <w:color w:val="231F20"/>
          <w:sz w:val="18"/>
        </w:rPr>
        <w:t xml:space="preserve">czerwca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2015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Pr="00CA0A0C">
        <w:rPr>
          <w:rFonts w:ascii="CentSchbookEU" w:hAnsi="CentSchbookEU"/>
          <w:i/>
          <w:color w:val="231F20"/>
          <w:sz w:val="18"/>
        </w:rPr>
        <w:t>(poz. 843) w sprawie szczegółowych warunków i sposobu oceniania, klasyfikowania i promowania uczniów i słuchaczy                       w szkołach publicznych</w:t>
      </w:r>
      <w:r w:rsidRPr="00CA0A0C">
        <w:rPr>
          <w:color w:val="231F20"/>
          <w:sz w:val="18"/>
        </w:rPr>
        <w:t xml:space="preserve">, a </w:t>
      </w:r>
      <w:r w:rsidRPr="00CA0A0C">
        <w:rPr>
          <w:color w:val="231F20"/>
          <w:spacing w:val="1"/>
          <w:sz w:val="18"/>
        </w:rPr>
        <w:t xml:space="preserve">także 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Rozporządzenia MEN z dnia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11 </w:t>
      </w:r>
      <w:r w:rsidRPr="00CA0A0C">
        <w:rPr>
          <w:rFonts w:ascii="CentSchbookEU" w:hAnsi="CentSchbookEU"/>
          <w:i/>
          <w:color w:val="231F20"/>
          <w:sz w:val="18"/>
        </w:rPr>
        <w:t xml:space="preserve">sierpnia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2016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Pr="00CA0A0C">
        <w:rPr>
          <w:rFonts w:ascii="CentSchbookEU" w:hAnsi="CentSchbookEU"/>
          <w:i/>
          <w:color w:val="231F20"/>
          <w:sz w:val="18"/>
        </w:rPr>
        <w:t xml:space="preserve">(poz. 1278) zmieniającego rozporządzenie w sprawie szczegółowych warunków i sposobu oceniania, klasyfikowania i promowania uczniów i słuchaczy w </w:t>
      </w:r>
      <w:proofErr w:type="spellStart"/>
      <w:r w:rsidRPr="00CA0A0C">
        <w:rPr>
          <w:rFonts w:ascii="CentSchbookEU" w:hAnsi="CentSchbookEU"/>
          <w:i/>
          <w:color w:val="231F20"/>
          <w:sz w:val="18"/>
        </w:rPr>
        <w:t>szkołachpublicznych</w:t>
      </w:r>
      <w:proofErr w:type="spellEnd"/>
      <w:r w:rsidRPr="00CA0A0C">
        <w:rPr>
          <w:rFonts w:ascii="CentSchbookEU" w:hAnsi="CentSchbookEU"/>
          <w:i/>
          <w:color w:val="231F20"/>
          <w:sz w:val="18"/>
        </w:rPr>
        <w:t>.</w:t>
      </w:r>
    </w:p>
    <w:sectPr w:rsidR="00CE5C85" w:rsidRPr="00CA0A0C" w:rsidSect="008C09B0">
      <w:pgSz w:w="11630" w:h="15600"/>
      <w:pgMar w:top="0" w:right="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6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7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8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9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5C85"/>
    <w:rsid w:val="008C09B0"/>
    <w:rsid w:val="00CA0A0C"/>
    <w:rsid w:val="00CE5C85"/>
    <w:rsid w:val="00E50FD7"/>
    <w:rsid w:val="00F1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09B0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rsid w:val="008C09B0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09B0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C09B0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8C09B0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Tadeusz Marcyniuk</cp:lastModifiedBy>
  <cp:revision>2</cp:revision>
  <dcterms:created xsi:type="dcterms:W3CDTF">2020-09-07T17:12:00Z</dcterms:created>
  <dcterms:modified xsi:type="dcterms:W3CDTF">2020-09-07T17:12:00Z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